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C3" w:rsidRPr="004D50C4" w:rsidRDefault="00E14048" w:rsidP="003D3B81">
      <w:pPr>
        <w:pStyle w:val="Heading1"/>
        <w:spacing w:line="360" w:lineRule="auto"/>
        <w:jc w:val="center"/>
        <w:rPr>
          <w:color w:val="0000FF"/>
          <w:sz w:val="28"/>
          <w:szCs w:val="28"/>
          <w:lang w:val="en-GB"/>
        </w:rPr>
      </w:pPr>
      <w:r w:rsidRPr="004D50C4">
        <w:rPr>
          <w:noProof/>
          <w:color w:val="0000FF"/>
          <w:sz w:val="28"/>
          <w:szCs w:val="28"/>
          <w:lang w:val="en-JM" w:eastAsia="en-JM"/>
        </w:rPr>
        <w:drawing>
          <wp:inline distT="0" distB="0" distL="0" distR="0">
            <wp:extent cx="5478780" cy="57086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C3" w:rsidRPr="004D50C4" w:rsidRDefault="001417C3" w:rsidP="001417C3">
      <w:pPr>
        <w:autoSpaceDE w:val="0"/>
        <w:autoSpaceDN w:val="0"/>
        <w:adjustRightInd w:val="0"/>
        <w:rPr>
          <w:b/>
          <w:bCs/>
          <w:color w:val="0000FF"/>
          <w:sz w:val="36"/>
          <w:szCs w:val="36"/>
          <w:lang w:val="en-GB" w:eastAsia="en-GB"/>
        </w:rPr>
      </w:pPr>
      <w:r w:rsidRPr="004D50C4">
        <w:rPr>
          <w:b/>
          <w:bCs/>
          <w:color w:val="0000FF"/>
          <w:sz w:val="36"/>
          <w:szCs w:val="36"/>
          <w:lang w:val="en-GB" w:eastAsia="en-GB"/>
        </w:rPr>
        <w:t>News Release</w:t>
      </w:r>
    </w:p>
    <w:p w:rsidR="00D67020" w:rsidRPr="004D50C4" w:rsidRDefault="00E006FC" w:rsidP="001417C3">
      <w:pPr>
        <w:pStyle w:val="Heading1"/>
        <w:spacing w:line="360" w:lineRule="auto"/>
        <w:rPr>
          <w:color w:val="0000FF"/>
          <w:sz w:val="28"/>
          <w:szCs w:val="28"/>
          <w:lang w:val="en-GB"/>
        </w:rPr>
      </w:pPr>
      <w:r w:rsidRPr="004D50C4">
        <w:rPr>
          <w:bCs w:val="0"/>
          <w:color w:val="0000FF"/>
          <w:lang w:val="en-GB" w:eastAsia="en-GB"/>
        </w:rPr>
        <w:t>2</w:t>
      </w:r>
      <w:r w:rsidR="007E2E28">
        <w:rPr>
          <w:bCs w:val="0"/>
          <w:color w:val="0000FF"/>
          <w:lang w:val="en-GB" w:eastAsia="en-GB"/>
        </w:rPr>
        <w:t>8</w:t>
      </w:r>
      <w:r w:rsidRPr="004D50C4">
        <w:rPr>
          <w:bCs w:val="0"/>
          <w:color w:val="0000FF"/>
          <w:lang w:val="en-GB" w:eastAsia="en-GB"/>
        </w:rPr>
        <w:t xml:space="preserve"> </w:t>
      </w:r>
      <w:r w:rsidR="001417C3" w:rsidRPr="004D50C4">
        <w:rPr>
          <w:bCs w:val="0"/>
          <w:color w:val="0000FF"/>
          <w:lang w:val="en-GB" w:eastAsia="en-GB"/>
        </w:rPr>
        <w:t>December 201</w:t>
      </w:r>
      <w:r w:rsidR="002B02A7">
        <w:rPr>
          <w:bCs w:val="0"/>
          <w:color w:val="0000FF"/>
          <w:lang w:val="en-GB" w:eastAsia="en-GB"/>
        </w:rPr>
        <w:t>6</w:t>
      </w:r>
    </w:p>
    <w:p w:rsidR="003D3B81" w:rsidRPr="004D50C4" w:rsidRDefault="003D3B81" w:rsidP="003D3B81">
      <w:pPr>
        <w:pStyle w:val="Heading1"/>
        <w:spacing w:line="360" w:lineRule="auto"/>
        <w:jc w:val="center"/>
        <w:rPr>
          <w:sz w:val="28"/>
          <w:szCs w:val="28"/>
          <w:lang w:val="en-GB"/>
        </w:rPr>
      </w:pPr>
      <w:r w:rsidRPr="004D50C4">
        <w:rPr>
          <w:sz w:val="28"/>
          <w:szCs w:val="28"/>
          <w:lang w:val="en-GB"/>
        </w:rPr>
        <w:t>Update:  Bank of Jamaica Currency Issue</w:t>
      </w:r>
    </w:p>
    <w:p w:rsidR="00E06C00" w:rsidRPr="00DF5BA5" w:rsidRDefault="00236764" w:rsidP="004919F4">
      <w:pPr>
        <w:spacing w:line="360" w:lineRule="auto"/>
        <w:jc w:val="both"/>
        <w:rPr>
          <w:lang w:val="en-GB"/>
        </w:rPr>
      </w:pPr>
      <w:r w:rsidRPr="004D50C4">
        <w:rPr>
          <w:lang w:val="en-GB"/>
        </w:rPr>
        <w:t>For the</w:t>
      </w:r>
      <w:r w:rsidR="00E06C00">
        <w:rPr>
          <w:lang w:val="en-GB"/>
        </w:rPr>
        <w:t xml:space="preserve"> week leading up to the Christmas holidays (</w:t>
      </w:r>
      <w:r w:rsidR="00345452" w:rsidRPr="004D50C4">
        <w:rPr>
          <w:lang w:val="en-GB"/>
        </w:rPr>
        <w:t>1</w:t>
      </w:r>
      <w:r w:rsidR="007E2E28">
        <w:rPr>
          <w:lang w:val="en-GB"/>
        </w:rPr>
        <w:t>9</w:t>
      </w:r>
      <w:r w:rsidR="00CD28EE" w:rsidRPr="004D50C4">
        <w:rPr>
          <w:lang w:val="en-GB"/>
        </w:rPr>
        <w:t xml:space="preserve"> to </w:t>
      </w:r>
      <w:r w:rsidR="007E2E28">
        <w:rPr>
          <w:lang w:val="en-GB"/>
        </w:rPr>
        <w:t>23</w:t>
      </w:r>
      <w:r w:rsidR="00CD28EE" w:rsidRPr="004D50C4">
        <w:rPr>
          <w:lang w:val="en-GB"/>
        </w:rPr>
        <w:t xml:space="preserve"> December 201</w:t>
      </w:r>
      <w:r w:rsidR="002B02A7">
        <w:rPr>
          <w:lang w:val="en-GB"/>
        </w:rPr>
        <w:t>6</w:t>
      </w:r>
      <w:r w:rsidR="00E06C00">
        <w:rPr>
          <w:lang w:val="en-GB"/>
        </w:rPr>
        <w:t>)</w:t>
      </w:r>
      <w:r w:rsidR="00CD28EE" w:rsidRPr="004D50C4">
        <w:rPr>
          <w:lang w:val="en-GB"/>
        </w:rPr>
        <w:t>,  Bank of Jamaica</w:t>
      </w:r>
      <w:r w:rsidR="00E06C00">
        <w:rPr>
          <w:lang w:val="en-GB"/>
        </w:rPr>
        <w:t xml:space="preserve"> (BOJ) </w:t>
      </w:r>
      <w:r w:rsidR="00CD28EE" w:rsidRPr="004D50C4">
        <w:rPr>
          <w:lang w:val="en-GB"/>
        </w:rPr>
        <w:t xml:space="preserve"> </w:t>
      </w:r>
      <w:r w:rsidR="00344DD3" w:rsidRPr="004D50C4">
        <w:rPr>
          <w:lang w:val="en-GB"/>
        </w:rPr>
        <w:t xml:space="preserve">issued </w:t>
      </w:r>
      <w:r w:rsidR="00CD28EE" w:rsidRPr="004D50C4">
        <w:rPr>
          <w:lang w:val="en-GB"/>
        </w:rPr>
        <w:t xml:space="preserve">currency </w:t>
      </w:r>
      <w:r w:rsidR="00344DD3" w:rsidRPr="004D50C4">
        <w:rPr>
          <w:lang w:val="en-GB"/>
        </w:rPr>
        <w:t>amounting</w:t>
      </w:r>
      <w:r w:rsidR="00CD28EE" w:rsidRPr="004D50C4">
        <w:rPr>
          <w:lang w:val="en-GB"/>
        </w:rPr>
        <w:t xml:space="preserve"> </w:t>
      </w:r>
      <w:r w:rsidR="00B11AFB" w:rsidRPr="004D50C4">
        <w:rPr>
          <w:lang w:val="en-GB"/>
        </w:rPr>
        <w:t xml:space="preserve">to </w:t>
      </w:r>
      <w:r w:rsidR="00CD28EE" w:rsidRPr="00431E6D">
        <w:rPr>
          <w:i/>
          <w:lang w:val="en-GB"/>
        </w:rPr>
        <w:t>$</w:t>
      </w:r>
      <w:r w:rsidR="00431E6D" w:rsidRPr="00431E6D">
        <w:rPr>
          <w:i/>
          <w:lang w:val="en-GB"/>
        </w:rPr>
        <w:t>1</w:t>
      </w:r>
      <w:r w:rsidR="002936A3">
        <w:rPr>
          <w:i/>
          <w:lang w:val="en-GB"/>
        </w:rPr>
        <w:t>3</w:t>
      </w:r>
      <w:r w:rsidR="00431E6D" w:rsidRPr="00431E6D">
        <w:rPr>
          <w:i/>
          <w:lang w:val="en-GB"/>
        </w:rPr>
        <w:t>.</w:t>
      </w:r>
      <w:r w:rsidR="002936A3">
        <w:rPr>
          <w:i/>
          <w:lang w:val="en-GB"/>
        </w:rPr>
        <w:t>2</w:t>
      </w:r>
      <w:r w:rsidR="00431E6D" w:rsidRPr="00431E6D">
        <w:rPr>
          <w:i/>
          <w:lang w:val="en-GB"/>
        </w:rPr>
        <w:t xml:space="preserve"> </w:t>
      </w:r>
      <w:r w:rsidR="00CD28EE" w:rsidRPr="00431E6D">
        <w:rPr>
          <w:i/>
          <w:lang w:val="en-GB"/>
        </w:rPr>
        <w:t>billion</w:t>
      </w:r>
      <w:r w:rsidR="00C161F7" w:rsidRPr="004D50C4">
        <w:rPr>
          <w:lang w:val="en-GB"/>
        </w:rPr>
        <w:t>,</w:t>
      </w:r>
      <w:r w:rsidR="00CD28EE" w:rsidRPr="004D50C4">
        <w:rPr>
          <w:lang w:val="en-GB"/>
        </w:rPr>
        <w:t xml:space="preserve"> </w:t>
      </w:r>
      <w:r w:rsidR="00E06C00">
        <w:rPr>
          <w:lang w:val="en-GB"/>
        </w:rPr>
        <w:t xml:space="preserve">representing an </w:t>
      </w:r>
      <w:r w:rsidR="00CD28EE" w:rsidRPr="004D50C4">
        <w:rPr>
          <w:lang w:val="en-GB"/>
        </w:rPr>
        <w:t xml:space="preserve">increase of </w:t>
      </w:r>
      <w:r w:rsidR="00253478" w:rsidRPr="00431E6D">
        <w:rPr>
          <w:i/>
          <w:lang w:val="en-GB"/>
        </w:rPr>
        <w:t>1</w:t>
      </w:r>
      <w:r w:rsidR="002936A3">
        <w:rPr>
          <w:i/>
          <w:lang w:val="en-GB"/>
        </w:rPr>
        <w:t>5</w:t>
      </w:r>
      <w:r w:rsidR="00234973" w:rsidRPr="00431E6D">
        <w:rPr>
          <w:i/>
          <w:lang w:val="en-GB"/>
        </w:rPr>
        <w:t>.</w:t>
      </w:r>
      <w:r w:rsidR="002936A3">
        <w:rPr>
          <w:i/>
          <w:lang w:val="en-GB"/>
        </w:rPr>
        <w:t>2</w:t>
      </w:r>
      <w:r w:rsidR="00CD28EE" w:rsidRPr="004D50C4">
        <w:rPr>
          <w:i/>
          <w:lang w:val="en-GB"/>
        </w:rPr>
        <w:t xml:space="preserve"> per cent</w:t>
      </w:r>
      <w:r w:rsidR="00CD28EE" w:rsidRPr="004D50C4">
        <w:rPr>
          <w:lang w:val="en-GB"/>
        </w:rPr>
        <w:t xml:space="preserve"> in </w:t>
      </w:r>
      <w:r w:rsidR="00344DD3" w:rsidRPr="004D50C4">
        <w:rPr>
          <w:lang w:val="en-GB"/>
        </w:rPr>
        <w:t xml:space="preserve">the </w:t>
      </w:r>
      <w:r w:rsidR="00CD28EE" w:rsidRPr="004D50C4">
        <w:rPr>
          <w:lang w:val="en-GB"/>
        </w:rPr>
        <w:t>currency</w:t>
      </w:r>
      <w:r w:rsidR="00344DD3" w:rsidRPr="004D50C4">
        <w:rPr>
          <w:lang w:val="en-GB"/>
        </w:rPr>
        <w:t xml:space="preserve"> stock</w:t>
      </w:r>
      <w:r w:rsidR="00E06C00">
        <w:rPr>
          <w:lang w:val="en-GB"/>
        </w:rPr>
        <w:t xml:space="preserve"> for the week.</w:t>
      </w:r>
      <w:r w:rsidR="00DF5BA5">
        <w:rPr>
          <w:lang w:val="en-GB"/>
        </w:rPr>
        <w:t xml:space="preserve"> This was higher than the </w:t>
      </w:r>
      <w:r w:rsidR="00DF5BA5">
        <w:rPr>
          <w:i/>
          <w:lang w:val="en-GB"/>
        </w:rPr>
        <w:t xml:space="preserve">$7.2 billion </w:t>
      </w:r>
      <w:r w:rsidR="00DF5BA5">
        <w:rPr>
          <w:lang w:val="en-GB"/>
        </w:rPr>
        <w:t xml:space="preserve">or </w:t>
      </w:r>
      <w:r w:rsidR="00DF5BA5">
        <w:rPr>
          <w:i/>
          <w:lang w:val="en-GB"/>
        </w:rPr>
        <w:t xml:space="preserve">11.4 per cent </w:t>
      </w:r>
      <w:r w:rsidR="00DF5BA5">
        <w:rPr>
          <w:lang w:val="en-GB"/>
        </w:rPr>
        <w:t xml:space="preserve">increase in stock for the same period in 2015. </w:t>
      </w:r>
    </w:p>
    <w:p w:rsidR="00E06C00" w:rsidRDefault="00E06C00" w:rsidP="004919F4">
      <w:pPr>
        <w:spacing w:line="360" w:lineRule="auto"/>
        <w:jc w:val="both"/>
        <w:rPr>
          <w:lang w:val="en-GB"/>
        </w:rPr>
      </w:pPr>
    </w:p>
    <w:p w:rsidR="00DF5BA5" w:rsidRDefault="00E06C00" w:rsidP="004919F4">
      <w:pPr>
        <w:spacing w:line="360" w:lineRule="auto"/>
        <w:jc w:val="both"/>
        <w:rPr>
          <w:b/>
          <w:lang w:val="en-GB"/>
        </w:rPr>
      </w:pPr>
      <w:r>
        <w:rPr>
          <w:lang w:val="en-GB"/>
        </w:rPr>
        <w:t>The currency issue for the review week</w:t>
      </w:r>
      <w:r w:rsidR="00817B0E" w:rsidRPr="004D50C4">
        <w:rPr>
          <w:lang w:val="en-GB"/>
        </w:rPr>
        <w:t xml:space="preserve"> contributed to </w:t>
      </w:r>
      <w:r w:rsidR="00C161F7" w:rsidRPr="004D50C4">
        <w:rPr>
          <w:lang w:val="en-GB"/>
        </w:rPr>
        <w:t xml:space="preserve">a </w:t>
      </w:r>
      <w:r w:rsidR="00344DD3" w:rsidRPr="004D50C4">
        <w:rPr>
          <w:lang w:val="en-GB"/>
        </w:rPr>
        <w:t xml:space="preserve">net increase of </w:t>
      </w:r>
      <w:r w:rsidR="00344DD3" w:rsidRPr="00431E6D">
        <w:rPr>
          <w:i/>
          <w:lang w:val="en-GB"/>
        </w:rPr>
        <w:t>$</w:t>
      </w:r>
      <w:r w:rsidR="00431E6D" w:rsidRPr="00431E6D">
        <w:rPr>
          <w:i/>
          <w:lang w:val="en-GB"/>
        </w:rPr>
        <w:t>1</w:t>
      </w:r>
      <w:r w:rsidR="002936A3">
        <w:rPr>
          <w:i/>
          <w:lang w:val="en-GB"/>
        </w:rPr>
        <w:t>6</w:t>
      </w:r>
      <w:r w:rsidR="00AF7037" w:rsidRPr="00431E6D">
        <w:rPr>
          <w:i/>
          <w:lang w:val="en-GB"/>
        </w:rPr>
        <w:t>.</w:t>
      </w:r>
      <w:r w:rsidR="002936A3">
        <w:rPr>
          <w:i/>
          <w:lang w:val="en-GB"/>
        </w:rPr>
        <w:t>1</w:t>
      </w:r>
      <w:r w:rsidR="00344DD3" w:rsidRPr="00431E6D">
        <w:rPr>
          <w:i/>
          <w:lang w:val="en-GB"/>
        </w:rPr>
        <w:t xml:space="preserve"> billion</w:t>
      </w:r>
      <w:r w:rsidR="005E74E6" w:rsidRPr="00431E6D">
        <w:rPr>
          <w:i/>
          <w:lang w:val="en-GB"/>
        </w:rPr>
        <w:t xml:space="preserve"> </w:t>
      </w:r>
      <w:r w:rsidR="007B000E" w:rsidRPr="00431E6D">
        <w:rPr>
          <w:lang w:val="en-GB"/>
        </w:rPr>
        <w:t xml:space="preserve">or </w:t>
      </w:r>
      <w:r w:rsidR="00DF5BA5">
        <w:rPr>
          <w:lang w:val="en-GB"/>
        </w:rPr>
        <w:t>(</w:t>
      </w:r>
      <w:r w:rsidR="00431E6D" w:rsidRPr="00431E6D">
        <w:rPr>
          <w:lang w:val="en-GB"/>
        </w:rPr>
        <w:t>1</w:t>
      </w:r>
      <w:r w:rsidR="002936A3">
        <w:rPr>
          <w:lang w:val="en-GB"/>
        </w:rPr>
        <w:t>9</w:t>
      </w:r>
      <w:r w:rsidR="00431E6D" w:rsidRPr="00431E6D">
        <w:rPr>
          <w:lang w:val="en-GB"/>
        </w:rPr>
        <w:t>.</w:t>
      </w:r>
      <w:r w:rsidR="002936A3">
        <w:rPr>
          <w:lang w:val="en-GB"/>
        </w:rPr>
        <w:t>2</w:t>
      </w:r>
      <w:r w:rsidR="007B000E" w:rsidRPr="00431E6D">
        <w:rPr>
          <w:i/>
          <w:lang w:val="en-GB"/>
        </w:rPr>
        <w:t xml:space="preserve"> per cent</w:t>
      </w:r>
      <w:r w:rsidR="00DF5BA5">
        <w:rPr>
          <w:i/>
          <w:lang w:val="en-GB"/>
        </w:rPr>
        <w:t>)</w:t>
      </w:r>
      <w:r w:rsidR="007B000E" w:rsidRPr="00431E6D">
        <w:rPr>
          <w:lang w:val="en-GB"/>
        </w:rPr>
        <w:t xml:space="preserve"> </w:t>
      </w:r>
      <w:r w:rsidR="005E74E6" w:rsidRPr="004D50C4">
        <w:rPr>
          <w:lang w:val="en-GB"/>
        </w:rPr>
        <w:t xml:space="preserve">in the </w:t>
      </w:r>
      <w:r w:rsidR="00B11AFB" w:rsidRPr="004D50C4">
        <w:rPr>
          <w:lang w:val="en-GB"/>
        </w:rPr>
        <w:t xml:space="preserve">currency </w:t>
      </w:r>
      <w:r w:rsidR="005E74E6" w:rsidRPr="004D50C4">
        <w:rPr>
          <w:lang w:val="en-GB"/>
        </w:rPr>
        <w:t>stock</w:t>
      </w:r>
      <w:r w:rsidR="00817B0E" w:rsidRPr="004D50C4">
        <w:rPr>
          <w:lang w:val="en-GB"/>
        </w:rPr>
        <w:t xml:space="preserve"> for the month-to-</w:t>
      </w:r>
      <w:r>
        <w:rPr>
          <w:lang w:val="en-GB"/>
        </w:rPr>
        <w:t>23 December 2016</w:t>
      </w:r>
      <w:r w:rsidR="00344DD3" w:rsidRPr="004D50C4">
        <w:rPr>
          <w:lang w:val="en-GB"/>
        </w:rPr>
        <w:t>,</w:t>
      </w:r>
      <w:r>
        <w:rPr>
          <w:lang w:val="en-GB"/>
        </w:rPr>
        <w:t xml:space="preserve"> which was broadly in line with the </w:t>
      </w:r>
      <w:r w:rsidR="00CD28EE" w:rsidRPr="004D50C4">
        <w:rPr>
          <w:lang w:val="en-GB"/>
        </w:rPr>
        <w:t>Bank’s projection</w:t>
      </w:r>
      <w:r w:rsidR="005741D8" w:rsidRPr="004D50C4">
        <w:rPr>
          <w:lang w:val="en-GB"/>
        </w:rPr>
        <w:t xml:space="preserve"> </w:t>
      </w:r>
      <w:r w:rsidR="00C161F7" w:rsidRPr="004D50C4">
        <w:rPr>
          <w:lang w:val="en-GB"/>
        </w:rPr>
        <w:t xml:space="preserve">for an expansion </w:t>
      </w:r>
      <w:r w:rsidR="005741D8" w:rsidRPr="004D50C4">
        <w:rPr>
          <w:lang w:val="en-GB"/>
        </w:rPr>
        <w:t xml:space="preserve">of </w:t>
      </w:r>
      <w:r w:rsidR="005741D8" w:rsidRPr="004D50C4">
        <w:rPr>
          <w:i/>
          <w:lang w:val="en-GB"/>
        </w:rPr>
        <w:t>1</w:t>
      </w:r>
      <w:r w:rsidR="00EA33B1">
        <w:rPr>
          <w:i/>
          <w:lang w:val="en-GB"/>
        </w:rPr>
        <w:t>9</w:t>
      </w:r>
      <w:r w:rsidR="005741D8" w:rsidRPr="004D50C4">
        <w:rPr>
          <w:i/>
          <w:lang w:val="en-GB"/>
        </w:rPr>
        <w:t>.</w:t>
      </w:r>
      <w:r w:rsidR="00EA33B1">
        <w:rPr>
          <w:i/>
          <w:lang w:val="en-GB"/>
        </w:rPr>
        <w:t>8</w:t>
      </w:r>
      <w:r w:rsidR="005741D8" w:rsidRPr="004D50C4">
        <w:rPr>
          <w:i/>
          <w:lang w:val="en-GB"/>
        </w:rPr>
        <w:t xml:space="preserve"> per cent</w:t>
      </w:r>
      <w:r w:rsidR="005741D8" w:rsidRPr="004D50C4">
        <w:rPr>
          <w:lang w:val="en-GB"/>
        </w:rPr>
        <w:t xml:space="preserve"> for the period</w:t>
      </w:r>
      <w:r w:rsidR="00CD28EE" w:rsidRPr="004D50C4">
        <w:rPr>
          <w:lang w:val="en-GB"/>
        </w:rPr>
        <w:t xml:space="preserve"> (see </w:t>
      </w:r>
      <w:r w:rsidR="007E2E28" w:rsidRPr="007E2E28">
        <w:rPr>
          <w:b/>
          <w:lang w:val="en-GB"/>
        </w:rPr>
        <w:t>Figure</w:t>
      </w:r>
      <w:r w:rsidR="00CD28EE" w:rsidRPr="004D50C4">
        <w:rPr>
          <w:b/>
          <w:lang w:val="en-GB"/>
        </w:rPr>
        <w:t xml:space="preserve"> 1</w:t>
      </w:r>
      <w:r w:rsidR="00C23A39" w:rsidRPr="00C23A39">
        <w:rPr>
          <w:lang w:val="en-GB"/>
        </w:rPr>
        <w:t>)</w:t>
      </w:r>
    </w:p>
    <w:p w:rsidR="00EF5F9C" w:rsidRPr="004D50C4" w:rsidRDefault="00EF5F9C" w:rsidP="004919F4">
      <w:pPr>
        <w:spacing w:line="360" w:lineRule="auto"/>
        <w:jc w:val="both"/>
        <w:rPr>
          <w:lang w:val="en-GB"/>
        </w:rPr>
      </w:pPr>
      <w:r w:rsidRPr="004D50C4">
        <w:rPr>
          <w:lang w:val="en-GB"/>
        </w:rPr>
        <w:t xml:space="preserve"> </w:t>
      </w:r>
    </w:p>
    <w:p w:rsidR="00236764" w:rsidRPr="004D50C4" w:rsidRDefault="00E06C00" w:rsidP="00465C7C">
      <w:pPr>
        <w:spacing w:line="360" w:lineRule="auto"/>
        <w:jc w:val="both"/>
        <w:rPr>
          <w:lang w:val="en-GB"/>
        </w:rPr>
      </w:pPr>
      <w:r>
        <w:rPr>
          <w:lang w:val="en-GB"/>
        </w:rPr>
        <w:t>A</w:t>
      </w:r>
      <w:r w:rsidR="007960DE" w:rsidRPr="004D50C4">
        <w:rPr>
          <w:lang w:val="en-GB"/>
        </w:rPr>
        <w:t xml:space="preserve">t </w:t>
      </w:r>
      <w:r w:rsidR="0006640B">
        <w:rPr>
          <w:lang w:val="en-GB"/>
        </w:rPr>
        <w:t xml:space="preserve">23 </w:t>
      </w:r>
      <w:r w:rsidR="00B21C88" w:rsidRPr="004D50C4">
        <w:rPr>
          <w:lang w:val="en-GB"/>
        </w:rPr>
        <w:t>December 201</w:t>
      </w:r>
      <w:r w:rsidR="00431E6D">
        <w:rPr>
          <w:lang w:val="en-GB"/>
        </w:rPr>
        <w:t>6</w:t>
      </w:r>
      <w:r w:rsidR="00B21C88" w:rsidRPr="004D50C4">
        <w:rPr>
          <w:lang w:val="en-GB"/>
        </w:rPr>
        <w:t>, t</w:t>
      </w:r>
      <w:r w:rsidR="00CD28EE" w:rsidRPr="004D50C4">
        <w:rPr>
          <w:lang w:val="en-GB"/>
        </w:rPr>
        <w:t xml:space="preserve">he stock of currency was </w:t>
      </w:r>
      <w:r w:rsidR="00CD28EE" w:rsidRPr="004D50C4">
        <w:rPr>
          <w:i/>
          <w:lang w:val="en-GB"/>
        </w:rPr>
        <w:t>$</w:t>
      </w:r>
      <w:r w:rsidR="002936A3">
        <w:rPr>
          <w:i/>
          <w:lang w:val="en-GB"/>
        </w:rPr>
        <w:t>100.1</w:t>
      </w:r>
      <w:r w:rsidR="00CD28EE" w:rsidRPr="004D50C4">
        <w:rPr>
          <w:i/>
          <w:lang w:val="en-GB"/>
        </w:rPr>
        <w:t xml:space="preserve"> billion</w:t>
      </w:r>
      <w:r w:rsidR="003B2AA6">
        <w:rPr>
          <w:lang w:val="en-GB"/>
        </w:rPr>
        <w:t xml:space="preserve">, representing an increase </w:t>
      </w:r>
      <w:r w:rsidR="00CD28EE" w:rsidRPr="004D50C4">
        <w:rPr>
          <w:lang w:val="en-GB"/>
        </w:rPr>
        <w:t xml:space="preserve">of </w:t>
      </w:r>
      <w:r w:rsidR="002936A3">
        <w:rPr>
          <w:i/>
          <w:lang w:val="en-GB"/>
        </w:rPr>
        <w:t>15.9</w:t>
      </w:r>
      <w:r w:rsidR="00CD28EE" w:rsidRPr="004D50C4">
        <w:rPr>
          <w:i/>
          <w:lang w:val="en-GB"/>
        </w:rPr>
        <w:t xml:space="preserve"> per cent</w:t>
      </w:r>
      <w:r w:rsidR="00DF5BA5">
        <w:rPr>
          <w:lang w:val="en-GB"/>
        </w:rPr>
        <w:t>,</w:t>
      </w:r>
      <w:r w:rsidR="00CD28EE" w:rsidRPr="004D50C4">
        <w:rPr>
          <w:lang w:val="en-GB"/>
        </w:rPr>
        <w:t xml:space="preserve"> relative to </w:t>
      </w:r>
      <w:r>
        <w:rPr>
          <w:lang w:val="en-GB"/>
        </w:rPr>
        <w:t xml:space="preserve">23 December 2015. When the forecasted change in the consumer price index </w:t>
      </w:r>
      <w:r w:rsidR="00C23A39">
        <w:rPr>
          <w:lang w:val="en-GB"/>
        </w:rPr>
        <w:t xml:space="preserve">for December </w:t>
      </w:r>
      <w:r>
        <w:rPr>
          <w:lang w:val="en-GB"/>
        </w:rPr>
        <w:t>is taken into account, the real growth in currenc</w:t>
      </w:r>
      <w:r w:rsidR="0079172A">
        <w:rPr>
          <w:lang w:val="en-GB"/>
        </w:rPr>
        <w:t>y</w:t>
      </w:r>
      <w:r>
        <w:rPr>
          <w:lang w:val="en-GB"/>
        </w:rPr>
        <w:t xml:space="preserve"> for the </w:t>
      </w:r>
      <w:r w:rsidR="0079172A">
        <w:rPr>
          <w:lang w:val="en-GB"/>
        </w:rPr>
        <w:t xml:space="preserve">period </w:t>
      </w:r>
      <w:r w:rsidR="00C23A39">
        <w:rPr>
          <w:lang w:val="en-GB"/>
        </w:rPr>
        <w:t>was</w:t>
      </w:r>
      <w:r w:rsidR="0079172A">
        <w:rPr>
          <w:lang w:val="en-GB"/>
        </w:rPr>
        <w:t xml:space="preserve"> </w:t>
      </w:r>
      <w:r w:rsidR="00697F80" w:rsidRPr="00697F80">
        <w:rPr>
          <w:i/>
          <w:lang w:val="en-GB"/>
        </w:rPr>
        <w:t>13.8</w:t>
      </w:r>
      <w:r w:rsidR="00C23A39">
        <w:rPr>
          <w:i/>
          <w:lang w:val="en-GB"/>
        </w:rPr>
        <w:t xml:space="preserve"> </w:t>
      </w:r>
      <w:r w:rsidR="0079172A">
        <w:rPr>
          <w:i/>
          <w:lang w:val="en-GB"/>
        </w:rPr>
        <w:t>per cent</w:t>
      </w:r>
      <w:r w:rsidR="00DF5BA5">
        <w:rPr>
          <w:lang w:val="en-GB"/>
        </w:rPr>
        <w:t>,</w:t>
      </w:r>
      <w:r w:rsidR="0079172A">
        <w:rPr>
          <w:lang w:val="en-GB"/>
        </w:rPr>
        <w:t xml:space="preserve"> which is much higher</w:t>
      </w:r>
      <w:r w:rsidR="00DF5BA5">
        <w:rPr>
          <w:lang w:val="en-GB"/>
        </w:rPr>
        <w:t xml:space="preserve"> than the real growth of </w:t>
      </w:r>
      <w:r w:rsidR="00697F80">
        <w:rPr>
          <w:i/>
          <w:lang w:val="en-GB"/>
        </w:rPr>
        <w:t>7.6</w:t>
      </w:r>
      <w:r w:rsidR="0079172A">
        <w:rPr>
          <w:i/>
          <w:lang w:val="en-GB"/>
        </w:rPr>
        <w:t xml:space="preserve"> per cent </w:t>
      </w:r>
      <w:r w:rsidR="0079172A">
        <w:rPr>
          <w:lang w:val="en-GB"/>
        </w:rPr>
        <w:t xml:space="preserve">for the same period of the previous year. </w:t>
      </w:r>
      <w:r>
        <w:rPr>
          <w:lang w:val="en-GB"/>
        </w:rPr>
        <w:t xml:space="preserve">BOJ had projected </w:t>
      </w:r>
      <w:r w:rsidR="00C23A39">
        <w:rPr>
          <w:lang w:val="en-GB"/>
        </w:rPr>
        <w:t xml:space="preserve">the </w:t>
      </w:r>
      <w:r>
        <w:rPr>
          <w:lang w:val="en-GB"/>
        </w:rPr>
        <w:t xml:space="preserve">currency stock to peak marginally higher on 23 December 2016 </w:t>
      </w:r>
      <w:r w:rsidR="00C23A39">
        <w:rPr>
          <w:lang w:val="en-GB"/>
        </w:rPr>
        <w:t xml:space="preserve">at </w:t>
      </w:r>
      <w:r>
        <w:rPr>
          <w:i/>
          <w:lang w:val="en-GB"/>
        </w:rPr>
        <w:t>$100.6 billion</w:t>
      </w:r>
      <w:r w:rsidR="00C23A39">
        <w:rPr>
          <w:i/>
          <w:lang w:val="en-GB"/>
        </w:rPr>
        <w:t xml:space="preserve">, </w:t>
      </w:r>
      <w:r w:rsidR="00C23A39" w:rsidRPr="00C23A39">
        <w:rPr>
          <w:lang w:val="en-GB"/>
        </w:rPr>
        <w:t>with</w:t>
      </w:r>
      <w:r w:rsidR="00C23A39">
        <w:rPr>
          <w:i/>
          <w:lang w:val="en-GB"/>
        </w:rPr>
        <w:t xml:space="preserve"> </w:t>
      </w:r>
      <w:r w:rsidR="00C23A39">
        <w:rPr>
          <w:lang w:val="en-GB"/>
        </w:rPr>
        <w:t>some redemption expected t</w:t>
      </w:r>
      <w:r>
        <w:rPr>
          <w:lang w:val="en-GB"/>
        </w:rPr>
        <w:t>hereafter</w:t>
      </w:r>
      <w:r w:rsidR="00C23A39">
        <w:rPr>
          <w:lang w:val="en-GB"/>
        </w:rPr>
        <w:t>.</w:t>
      </w:r>
    </w:p>
    <w:p w:rsidR="00697F80" w:rsidRDefault="00697F80" w:rsidP="003D3B81">
      <w:pPr>
        <w:spacing w:line="360" w:lineRule="auto"/>
        <w:rPr>
          <w:b/>
          <w:lang w:val="en-GB"/>
        </w:rPr>
      </w:pPr>
    </w:p>
    <w:p w:rsidR="00630FA6" w:rsidRDefault="00697F80" w:rsidP="003D3B81">
      <w:pPr>
        <w:spacing w:line="360" w:lineRule="auto"/>
        <w:rPr>
          <w:b/>
          <w:lang w:val="en-GB"/>
        </w:rPr>
      </w:pPr>
      <w:r>
        <w:rPr>
          <w:noProof/>
          <w:lang w:val="en-JM" w:eastAsia="en-JM"/>
        </w:rPr>
        <w:drawing>
          <wp:anchor distT="0" distB="0" distL="114300" distR="114300" simplePos="0" relativeHeight="251658240" behindDoc="0" locked="0" layoutInCell="1" allowOverlap="0" wp14:anchorId="16DC2ADC" wp14:editId="1765042E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026400" cy="2181600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0" cy="2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E28" w:rsidRPr="007E2E28">
        <w:rPr>
          <w:b/>
          <w:lang w:val="en-GB"/>
        </w:rPr>
        <w:t>Figure 1</w:t>
      </w:r>
    </w:p>
    <w:p w:rsidR="00AA2FAA" w:rsidRDefault="00AA2FAA" w:rsidP="00AA2FAA">
      <w:pPr>
        <w:spacing w:after="200" w:line="360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Background </w:t>
      </w:r>
    </w:p>
    <w:p w:rsidR="00AA2FAA" w:rsidRDefault="00AA2FAA" w:rsidP="00AA2FAA">
      <w:pPr>
        <w:spacing w:after="200" w:line="360" w:lineRule="auto"/>
        <w:jc w:val="both"/>
      </w:pPr>
      <w:r w:rsidRPr="000A6670">
        <w:t xml:space="preserve">Bank of Jamaica (BOJ) issues and redeems notes and coins daily in order to meet the demand for cash from individuals and businesses. There is normally a stronger demand for </w:t>
      </w:r>
      <w:r>
        <w:t>currency</w:t>
      </w:r>
      <w:r w:rsidRPr="000A6670">
        <w:t xml:space="preserve"> during the month of December</w:t>
      </w:r>
      <w:r>
        <w:t>,</w:t>
      </w:r>
      <w:r w:rsidRPr="000A6670">
        <w:t xml:space="preserve"> associated with increased spending </w:t>
      </w:r>
      <w:r>
        <w:t>over</w:t>
      </w:r>
      <w:r w:rsidRPr="000A6670">
        <w:t xml:space="preserve"> the holiday period. Financial institutions therefore request more currency f</w:t>
      </w:r>
      <w:r w:rsidR="00C23A39">
        <w:t>rom BOJ to satisfy this demand.</w:t>
      </w:r>
    </w:p>
    <w:p w:rsidR="00AA2FAA" w:rsidRPr="00565D84" w:rsidRDefault="0092093C" w:rsidP="00AA2FAA">
      <w:pPr>
        <w:spacing w:line="360" w:lineRule="auto"/>
        <w:jc w:val="both"/>
        <w:rPr>
          <w:i/>
        </w:rPr>
      </w:pPr>
      <w:r>
        <w:t xml:space="preserve">On </w:t>
      </w:r>
      <w:r w:rsidR="00D34D06">
        <w:t xml:space="preserve">19 </w:t>
      </w:r>
      <w:r>
        <w:t xml:space="preserve">December </w:t>
      </w:r>
      <w:r w:rsidR="00D34D06">
        <w:t>2016,</w:t>
      </w:r>
      <w:r w:rsidR="00AA2FAA">
        <w:t xml:space="preserve"> the BOJ issued a press release indicating that currency stock is projected to increase</w:t>
      </w:r>
      <w:r w:rsidR="00D34D06">
        <w:t xml:space="preserve"> in December 2016</w:t>
      </w:r>
      <w:r w:rsidR="00AA2FAA">
        <w:t xml:space="preserve"> by </w:t>
      </w:r>
      <w:r w:rsidR="00AA2FAA">
        <w:rPr>
          <w:i/>
        </w:rPr>
        <w:t xml:space="preserve">$15.9 billion (19.0 percent) </w:t>
      </w:r>
      <w:r w:rsidR="00AA2FAA">
        <w:t xml:space="preserve">to </w:t>
      </w:r>
      <w:r w:rsidR="00AA2FAA">
        <w:rPr>
          <w:i/>
        </w:rPr>
        <w:t>$99.9 billion</w:t>
      </w:r>
      <w:r w:rsidR="00C23A39">
        <w:rPr>
          <w:i/>
        </w:rPr>
        <w:t xml:space="preserve"> </w:t>
      </w:r>
      <w:r w:rsidR="00C23A39" w:rsidRPr="00C23A39">
        <w:t xml:space="preserve">at </w:t>
      </w:r>
      <w:r w:rsidR="004C46D6">
        <w:t>the end of the month</w:t>
      </w:r>
      <w:r w:rsidR="00AA2FAA">
        <w:rPr>
          <w:i/>
        </w:rPr>
        <w:t>.</w:t>
      </w:r>
    </w:p>
    <w:p w:rsidR="00AA2FAA" w:rsidRDefault="00AA2FAA" w:rsidP="00AA2FAA">
      <w:pPr>
        <w:spacing w:line="360" w:lineRule="auto"/>
        <w:jc w:val="both"/>
      </w:pPr>
    </w:p>
    <w:p w:rsidR="00AA2FAA" w:rsidRDefault="00AA2FAA" w:rsidP="00AA2FAA">
      <w:pPr>
        <w:spacing w:line="360" w:lineRule="auto"/>
        <w:jc w:val="both"/>
      </w:pPr>
    </w:p>
    <w:p w:rsidR="00AA2FAA" w:rsidRPr="00DA5ECC" w:rsidRDefault="00AA2FAA" w:rsidP="00AA2FAA">
      <w:pPr>
        <w:spacing w:after="200" w:line="360" w:lineRule="auto"/>
        <w:jc w:val="both"/>
        <w:rPr>
          <w:b/>
          <w:i/>
        </w:rPr>
      </w:pPr>
      <w:r w:rsidRPr="00DA5ECC">
        <w:rPr>
          <w:b/>
          <w:i/>
        </w:rPr>
        <w:t>Glossary:</w:t>
      </w:r>
    </w:p>
    <w:p w:rsidR="00AA2FAA" w:rsidRPr="00E951B9" w:rsidRDefault="00AA2FAA" w:rsidP="00AA2FAA">
      <w:pPr>
        <w:numPr>
          <w:ilvl w:val="0"/>
          <w:numId w:val="1"/>
        </w:numPr>
        <w:tabs>
          <w:tab w:val="left" w:pos="720"/>
        </w:tabs>
        <w:jc w:val="both"/>
        <w:rPr>
          <w:i/>
        </w:rPr>
      </w:pPr>
      <w:r w:rsidRPr="00E951B9">
        <w:rPr>
          <w:b/>
          <w:i/>
        </w:rPr>
        <w:t>Currency Issue</w:t>
      </w:r>
      <w:r w:rsidRPr="00E951B9">
        <w:rPr>
          <w:i/>
        </w:rPr>
        <w:t>: refers to Jamaican notes and coins in the hands of the public (currency in circulation) in addition to notes and coins held by financial institutions in their vaults (vault cash). B</w:t>
      </w:r>
      <w:r w:rsidR="00D34D06">
        <w:rPr>
          <w:i/>
        </w:rPr>
        <w:t>OJ</w:t>
      </w:r>
      <w:r w:rsidRPr="00E951B9">
        <w:rPr>
          <w:i/>
        </w:rPr>
        <w:t xml:space="preserve"> redeems (buys) or issues (sells) notes and coins to financial institutions when institutions have a demand for cash. The difference between currency issued and that which is redeemed during a period of time is referred to as net currency issue.</w:t>
      </w:r>
    </w:p>
    <w:p w:rsidR="00AA2FAA" w:rsidRPr="00E951B9" w:rsidRDefault="00AA2FAA" w:rsidP="00AA2FAA">
      <w:pPr>
        <w:numPr>
          <w:ilvl w:val="0"/>
          <w:numId w:val="1"/>
        </w:numPr>
        <w:tabs>
          <w:tab w:val="left" w:pos="720"/>
        </w:tabs>
        <w:jc w:val="both"/>
        <w:rPr>
          <w:i/>
        </w:rPr>
      </w:pPr>
      <w:r w:rsidRPr="00E951B9">
        <w:rPr>
          <w:b/>
          <w:i/>
        </w:rPr>
        <w:t>Currency Stock or Currency in Circulation</w:t>
      </w:r>
      <w:r w:rsidRPr="00E951B9">
        <w:rPr>
          <w:i/>
        </w:rPr>
        <w:t>: (see Currency Issue)</w:t>
      </w:r>
    </w:p>
    <w:p w:rsidR="00AA2FAA" w:rsidRPr="00E951B9" w:rsidRDefault="00AA2FAA" w:rsidP="00AA2FAA">
      <w:pPr>
        <w:numPr>
          <w:ilvl w:val="0"/>
          <w:numId w:val="1"/>
        </w:numPr>
        <w:tabs>
          <w:tab w:val="left" w:pos="720"/>
        </w:tabs>
        <w:jc w:val="both"/>
        <w:rPr>
          <w:i/>
        </w:rPr>
      </w:pPr>
      <w:r w:rsidRPr="00E951B9">
        <w:rPr>
          <w:b/>
          <w:i/>
        </w:rPr>
        <w:t>Real Currency Growth</w:t>
      </w:r>
      <w:r w:rsidRPr="00E951B9">
        <w:rPr>
          <w:i/>
        </w:rPr>
        <w:t xml:space="preserve">: </w:t>
      </w:r>
      <w:r w:rsidR="000B013D">
        <w:rPr>
          <w:i/>
        </w:rPr>
        <w:t xml:space="preserve">This is </w:t>
      </w:r>
      <w:r w:rsidR="000B013D" w:rsidRPr="000B013D">
        <w:rPr>
          <w:i/>
        </w:rPr>
        <w:t>the nominal change in the stock of currency</w:t>
      </w:r>
      <w:r w:rsidR="000B013D">
        <w:rPr>
          <w:i/>
        </w:rPr>
        <w:t>,</w:t>
      </w:r>
      <w:r w:rsidR="000B013D" w:rsidRPr="000B013D">
        <w:rPr>
          <w:i/>
        </w:rPr>
        <w:t xml:space="preserve"> adjusted for the change in consumer prices over the same period</w:t>
      </w:r>
      <w:r w:rsidR="000B013D">
        <w:rPr>
          <w:i/>
        </w:rPr>
        <w:t>.</w:t>
      </w:r>
    </w:p>
    <w:p w:rsidR="00AA2FAA" w:rsidRPr="00E951B9" w:rsidRDefault="00AA2FAA" w:rsidP="00AA2FAA">
      <w:pPr>
        <w:numPr>
          <w:ilvl w:val="0"/>
          <w:numId w:val="1"/>
        </w:numPr>
        <w:tabs>
          <w:tab w:val="left" w:pos="720"/>
        </w:tabs>
        <w:jc w:val="both"/>
        <w:rPr>
          <w:i/>
        </w:rPr>
      </w:pPr>
      <w:r w:rsidRPr="00E951B9">
        <w:rPr>
          <w:b/>
          <w:i/>
        </w:rPr>
        <w:t>Real Growth</w:t>
      </w:r>
      <w:r w:rsidRPr="00E951B9">
        <w:rPr>
          <w:i/>
        </w:rPr>
        <w:t xml:space="preserve">:  Reflects annual percentage change in </w:t>
      </w:r>
      <w:r>
        <w:rPr>
          <w:i/>
        </w:rPr>
        <w:t>Gross Domestic Product (</w:t>
      </w:r>
      <w:r w:rsidRPr="00E951B9">
        <w:rPr>
          <w:i/>
        </w:rPr>
        <w:t>GDP</w:t>
      </w:r>
      <w:r>
        <w:rPr>
          <w:i/>
        </w:rPr>
        <w:t>)</w:t>
      </w:r>
      <w:r w:rsidRPr="00E951B9">
        <w:rPr>
          <w:i/>
        </w:rPr>
        <w:t xml:space="preserve"> using 2007 </w:t>
      </w:r>
      <w:r>
        <w:rPr>
          <w:i/>
        </w:rPr>
        <w:t xml:space="preserve">as the </w:t>
      </w:r>
      <w:r w:rsidRPr="00E951B9">
        <w:rPr>
          <w:i/>
        </w:rPr>
        <w:t xml:space="preserve">base year. </w:t>
      </w:r>
    </w:p>
    <w:p w:rsidR="00AA2FAA" w:rsidRPr="00E951B9" w:rsidRDefault="00AA2FAA" w:rsidP="004C46D6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i/>
        </w:rPr>
      </w:pPr>
      <w:r w:rsidRPr="00B629DA">
        <w:rPr>
          <w:b/>
          <w:i/>
        </w:rPr>
        <w:t>Gross Domestic Product (GDP)</w:t>
      </w:r>
      <w:r w:rsidRPr="00B629DA">
        <w:rPr>
          <w:i/>
        </w:rPr>
        <w:t>: This is the total value of all goods and services produced within an economy</w:t>
      </w:r>
      <w:bookmarkStart w:id="0" w:name="_GoBack"/>
      <w:bookmarkEnd w:id="0"/>
      <w:r w:rsidRPr="00B629DA">
        <w:rPr>
          <w:i/>
        </w:rPr>
        <w:t xml:space="preserve"> over a particular time period –either a year or three months.</w:t>
      </w:r>
    </w:p>
    <w:p w:rsidR="00AA2FAA" w:rsidRDefault="00AA2FAA" w:rsidP="003D3B81">
      <w:pPr>
        <w:spacing w:line="360" w:lineRule="auto"/>
        <w:rPr>
          <w:b/>
          <w:lang w:val="en-GB"/>
        </w:rPr>
      </w:pPr>
    </w:p>
    <w:sectPr w:rsidR="00AA2FAA" w:rsidSect="00697F80">
      <w:pgSz w:w="12240" w:h="15840"/>
      <w:pgMar w:top="1276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AA" w:rsidRDefault="00C93EAA">
      <w:r>
        <w:separator/>
      </w:r>
    </w:p>
  </w:endnote>
  <w:endnote w:type="continuationSeparator" w:id="0">
    <w:p w:rsidR="00C93EAA" w:rsidRDefault="00C9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AA" w:rsidRDefault="00C93EAA">
      <w:r>
        <w:separator/>
      </w:r>
    </w:p>
  </w:footnote>
  <w:footnote w:type="continuationSeparator" w:id="0">
    <w:p w:rsidR="00C93EAA" w:rsidRDefault="00C9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7FDE"/>
    <w:multiLevelType w:val="hybridMultilevel"/>
    <w:tmpl w:val="9240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D"/>
    <w:rsid w:val="000146F8"/>
    <w:rsid w:val="000606B3"/>
    <w:rsid w:val="0006435B"/>
    <w:rsid w:val="0006640B"/>
    <w:rsid w:val="00077987"/>
    <w:rsid w:val="000B013D"/>
    <w:rsid w:val="000E024E"/>
    <w:rsid w:val="000E1DFF"/>
    <w:rsid w:val="000E3730"/>
    <w:rsid w:val="000E43C5"/>
    <w:rsid w:val="00120C29"/>
    <w:rsid w:val="00122488"/>
    <w:rsid w:val="001417C3"/>
    <w:rsid w:val="00142DF9"/>
    <w:rsid w:val="00146B8D"/>
    <w:rsid w:val="0015675E"/>
    <w:rsid w:val="001575F6"/>
    <w:rsid w:val="00160E01"/>
    <w:rsid w:val="00170D11"/>
    <w:rsid w:val="001C2B71"/>
    <w:rsid w:val="001C5998"/>
    <w:rsid w:val="001C5C10"/>
    <w:rsid w:val="001D08A0"/>
    <w:rsid w:val="001D2769"/>
    <w:rsid w:val="001D3DFA"/>
    <w:rsid w:val="001D4E5D"/>
    <w:rsid w:val="001E31A5"/>
    <w:rsid w:val="001F01AB"/>
    <w:rsid w:val="001F0BAC"/>
    <w:rsid w:val="00215361"/>
    <w:rsid w:val="00226FB5"/>
    <w:rsid w:val="00234973"/>
    <w:rsid w:val="00235F1A"/>
    <w:rsid w:val="0023661C"/>
    <w:rsid w:val="00236764"/>
    <w:rsid w:val="00253478"/>
    <w:rsid w:val="00277C2D"/>
    <w:rsid w:val="002936A3"/>
    <w:rsid w:val="002B02A7"/>
    <w:rsid w:val="002B4BAB"/>
    <w:rsid w:val="002C4146"/>
    <w:rsid w:val="002C4FCA"/>
    <w:rsid w:val="002E366C"/>
    <w:rsid w:val="002E5BFB"/>
    <w:rsid w:val="00303412"/>
    <w:rsid w:val="00311747"/>
    <w:rsid w:val="003154C8"/>
    <w:rsid w:val="00325964"/>
    <w:rsid w:val="00332322"/>
    <w:rsid w:val="00333C71"/>
    <w:rsid w:val="003357C4"/>
    <w:rsid w:val="00344DD3"/>
    <w:rsid w:val="00345452"/>
    <w:rsid w:val="00364F3F"/>
    <w:rsid w:val="003A3F6B"/>
    <w:rsid w:val="003A53E2"/>
    <w:rsid w:val="003B2AA6"/>
    <w:rsid w:val="003B6537"/>
    <w:rsid w:val="003C4187"/>
    <w:rsid w:val="003D3B81"/>
    <w:rsid w:val="003F32BC"/>
    <w:rsid w:val="00412C89"/>
    <w:rsid w:val="00431E6D"/>
    <w:rsid w:val="00436D30"/>
    <w:rsid w:val="00441348"/>
    <w:rsid w:val="00443865"/>
    <w:rsid w:val="00465C7C"/>
    <w:rsid w:val="004662CC"/>
    <w:rsid w:val="00482BC0"/>
    <w:rsid w:val="004919F4"/>
    <w:rsid w:val="00492577"/>
    <w:rsid w:val="0049493F"/>
    <w:rsid w:val="004A6A9A"/>
    <w:rsid w:val="004B5F0D"/>
    <w:rsid w:val="004C46D6"/>
    <w:rsid w:val="004D37F5"/>
    <w:rsid w:val="004D50C4"/>
    <w:rsid w:val="004E346E"/>
    <w:rsid w:val="004E78AD"/>
    <w:rsid w:val="004F6BDF"/>
    <w:rsid w:val="00506B8A"/>
    <w:rsid w:val="00515299"/>
    <w:rsid w:val="0051790B"/>
    <w:rsid w:val="00527CFD"/>
    <w:rsid w:val="00533D6C"/>
    <w:rsid w:val="00536DFE"/>
    <w:rsid w:val="005741D8"/>
    <w:rsid w:val="00581606"/>
    <w:rsid w:val="00581B0D"/>
    <w:rsid w:val="005B2468"/>
    <w:rsid w:val="005D5BED"/>
    <w:rsid w:val="005E74E6"/>
    <w:rsid w:val="005F76E5"/>
    <w:rsid w:val="005F7897"/>
    <w:rsid w:val="00603690"/>
    <w:rsid w:val="00613F1B"/>
    <w:rsid w:val="00630FA6"/>
    <w:rsid w:val="00634A5A"/>
    <w:rsid w:val="00642005"/>
    <w:rsid w:val="006422EC"/>
    <w:rsid w:val="00656166"/>
    <w:rsid w:val="00661EEC"/>
    <w:rsid w:val="00663F26"/>
    <w:rsid w:val="00672221"/>
    <w:rsid w:val="00697F80"/>
    <w:rsid w:val="006B35EE"/>
    <w:rsid w:val="006C157D"/>
    <w:rsid w:val="006F0965"/>
    <w:rsid w:val="006F54D7"/>
    <w:rsid w:val="007056C6"/>
    <w:rsid w:val="007328A5"/>
    <w:rsid w:val="00745975"/>
    <w:rsid w:val="00752D11"/>
    <w:rsid w:val="00764A1C"/>
    <w:rsid w:val="007760E6"/>
    <w:rsid w:val="00777335"/>
    <w:rsid w:val="0079172A"/>
    <w:rsid w:val="007960DE"/>
    <w:rsid w:val="007A2699"/>
    <w:rsid w:val="007B000E"/>
    <w:rsid w:val="007C62A4"/>
    <w:rsid w:val="007D70F4"/>
    <w:rsid w:val="007E2018"/>
    <w:rsid w:val="007E2E28"/>
    <w:rsid w:val="007E3677"/>
    <w:rsid w:val="00801A26"/>
    <w:rsid w:val="00801CAB"/>
    <w:rsid w:val="0081439E"/>
    <w:rsid w:val="00817B0E"/>
    <w:rsid w:val="008411F9"/>
    <w:rsid w:val="008622D4"/>
    <w:rsid w:val="008766D0"/>
    <w:rsid w:val="00880373"/>
    <w:rsid w:val="0088672E"/>
    <w:rsid w:val="00886820"/>
    <w:rsid w:val="00890F13"/>
    <w:rsid w:val="008A01B3"/>
    <w:rsid w:val="008C0671"/>
    <w:rsid w:val="008D33D9"/>
    <w:rsid w:val="008E60CB"/>
    <w:rsid w:val="008F0B07"/>
    <w:rsid w:val="00902C0F"/>
    <w:rsid w:val="0091076A"/>
    <w:rsid w:val="0092093C"/>
    <w:rsid w:val="00926B67"/>
    <w:rsid w:val="00933DEC"/>
    <w:rsid w:val="00943E6A"/>
    <w:rsid w:val="00956C50"/>
    <w:rsid w:val="00961495"/>
    <w:rsid w:val="00961595"/>
    <w:rsid w:val="00967136"/>
    <w:rsid w:val="00982BA8"/>
    <w:rsid w:val="00984FE9"/>
    <w:rsid w:val="00994E6D"/>
    <w:rsid w:val="009A2668"/>
    <w:rsid w:val="009B054A"/>
    <w:rsid w:val="009E41F7"/>
    <w:rsid w:val="009F746E"/>
    <w:rsid w:val="00A00562"/>
    <w:rsid w:val="00A16066"/>
    <w:rsid w:val="00A20CD1"/>
    <w:rsid w:val="00A50AFF"/>
    <w:rsid w:val="00A7215A"/>
    <w:rsid w:val="00A72C4E"/>
    <w:rsid w:val="00A83FF2"/>
    <w:rsid w:val="00A852CA"/>
    <w:rsid w:val="00A90207"/>
    <w:rsid w:val="00A961BD"/>
    <w:rsid w:val="00AA2FAA"/>
    <w:rsid w:val="00AD0E84"/>
    <w:rsid w:val="00AD4BE3"/>
    <w:rsid w:val="00AD7723"/>
    <w:rsid w:val="00AF0EF3"/>
    <w:rsid w:val="00AF28AD"/>
    <w:rsid w:val="00AF3786"/>
    <w:rsid w:val="00AF5B76"/>
    <w:rsid w:val="00AF7037"/>
    <w:rsid w:val="00B06EBF"/>
    <w:rsid w:val="00B11AFB"/>
    <w:rsid w:val="00B11F01"/>
    <w:rsid w:val="00B21C88"/>
    <w:rsid w:val="00B21EDC"/>
    <w:rsid w:val="00B247A5"/>
    <w:rsid w:val="00B25C55"/>
    <w:rsid w:val="00B34F2B"/>
    <w:rsid w:val="00B35682"/>
    <w:rsid w:val="00B425DF"/>
    <w:rsid w:val="00B54E6E"/>
    <w:rsid w:val="00B70CCD"/>
    <w:rsid w:val="00B756EB"/>
    <w:rsid w:val="00B97552"/>
    <w:rsid w:val="00BA2F9B"/>
    <w:rsid w:val="00BA43F4"/>
    <w:rsid w:val="00BA7111"/>
    <w:rsid w:val="00BB0639"/>
    <w:rsid w:val="00C0410C"/>
    <w:rsid w:val="00C161F7"/>
    <w:rsid w:val="00C23A39"/>
    <w:rsid w:val="00C27FB1"/>
    <w:rsid w:val="00C41B37"/>
    <w:rsid w:val="00C50EDC"/>
    <w:rsid w:val="00C93EAA"/>
    <w:rsid w:val="00C967E3"/>
    <w:rsid w:val="00CA0C4C"/>
    <w:rsid w:val="00CC4C71"/>
    <w:rsid w:val="00CC537D"/>
    <w:rsid w:val="00CD19D3"/>
    <w:rsid w:val="00CD28EE"/>
    <w:rsid w:val="00CF0ED1"/>
    <w:rsid w:val="00CF3CB1"/>
    <w:rsid w:val="00CF4491"/>
    <w:rsid w:val="00D01FA9"/>
    <w:rsid w:val="00D05DB0"/>
    <w:rsid w:val="00D10A3D"/>
    <w:rsid w:val="00D30576"/>
    <w:rsid w:val="00D34D06"/>
    <w:rsid w:val="00D425D0"/>
    <w:rsid w:val="00D4763C"/>
    <w:rsid w:val="00D6161E"/>
    <w:rsid w:val="00D67020"/>
    <w:rsid w:val="00D7770F"/>
    <w:rsid w:val="00D8400E"/>
    <w:rsid w:val="00DB5262"/>
    <w:rsid w:val="00DB5A90"/>
    <w:rsid w:val="00DB5CF7"/>
    <w:rsid w:val="00DD03B1"/>
    <w:rsid w:val="00DD5ED3"/>
    <w:rsid w:val="00DE052D"/>
    <w:rsid w:val="00DF5BA5"/>
    <w:rsid w:val="00E006FC"/>
    <w:rsid w:val="00E06C00"/>
    <w:rsid w:val="00E14048"/>
    <w:rsid w:val="00E174C8"/>
    <w:rsid w:val="00E257C9"/>
    <w:rsid w:val="00E3137C"/>
    <w:rsid w:val="00E37726"/>
    <w:rsid w:val="00E5214A"/>
    <w:rsid w:val="00E6223C"/>
    <w:rsid w:val="00E6545F"/>
    <w:rsid w:val="00E77D23"/>
    <w:rsid w:val="00E9334F"/>
    <w:rsid w:val="00E97A8A"/>
    <w:rsid w:val="00EA3037"/>
    <w:rsid w:val="00EA33B1"/>
    <w:rsid w:val="00EA376D"/>
    <w:rsid w:val="00EA613E"/>
    <w:rsid w:val="00EB4D4D"/>
    <w:rsid w:val="00ED3275"/>
    <w:rsid w:val="00ED76B5"/>
    <w:rsid w:val="00EE3B3B"/>
    <w:rsid w:val="00EE76C2"/>
    <w:rsid w:val="00EF5F9C"/>
    <w:rsid w:val="00EF6CE3"/>
    <w:rsid w:val="00F11C83"/>
    <w:rsid w:val="00F21E57"/>
    <w:rsid w:val="00F71A93"/>
    <w:rsid w:val="00F75FC6"/>
    <w:rsid w:val="00F82779"/>
    <w:rsid w:val="00FA5251"/>
    <w:rsid w:val="00FA7F09"/>
    <w:rsid w:val="00FE0973"/>
    <w:rsid w:val="00FE6AF1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82A16-2AB5-4EA8-A322-774C6DB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3B8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2D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F746E"/>
    <w:rPr>
      <w:sz w:val="16"/>
      <w:szCs w:val="16"/>
    </w:rPr>
  </w:style>
  <w:style w:type="paragraph" w:styleId="CommentText">
    <w:name w:val="annotation text"/>
    <w:basedOn w:val="Normal"/>
    <w:semiHidden/>
    <w:rsid w:val="009F74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746E"/>
    <w:rPr>
      <w:b/>
      <w:bCs/>
    </w:rPr>
  </w:style>
  <w:style w:type="paragraph" w:styleId="Header">
    <w:name w:val="header"/>
    <w:basedOn w:val="Normal"/>
    <w:rsid w:val="00AF2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8A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F0BAC"/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8C0671"/>
    <w:rPr>
      <w:sz w:val="20"/>
      <w:szCs w:val="20"/>
    </w:rPr>
  </w:style>
  <w:style w:type="character" w:styleId="FootnoteReference">
    <w:name w:val="footnote reference"/>
    <w:semiHidden/>
    <w:rsid w:val="008C0671"/>
    <w:rPr>
      <w:vertAlign w:val="superscript"/>
    </w:rPr>
  </w:style>
  <w:style w:type="paragraph" w:styleId="DocumentMap">
    <w:name w:val="Document Map"/>
    <w:basedOn w:val="Normal"/>
    <w:semiHidden/>
    <w:rsid w:val="000E1D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AB99-F4D9-4B06-80B3-B33A37A1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Currency Press release</vt:lpstr>
    </vt:vector>
  </TitlesOfParts>
  <Company>BOJ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Currency Press release</dc:title>
  <dc:subject/>
  <dc:creator>Owen Fisher</dc:creator>
  <cp:keywords/>
  <cp:lastModifiedBy>Robert Stennett</cp:lastModifiedBy>
  <cp:revision>4</cp:revision>
  <cp:lastPrinted>2015-12-23T17:57:00Z</cp:lastPrinted>
  <dcterms:created xsi:type="dcterms:W3CDTF">2016-12-28T20:27:00Z</dcterms:created>
  <dcterms:modified xsi:type="dcterms:W3CDTF">2016-12-28T21:51:00Z</dcterms:modified>
</cp:coreProperties>
</file>